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0E34F0E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2009C5DA" w14:textId="77777777" w:rsidR="007A109F" w:rsidRPr="002514D1" w:rsidRDefault="007A109F" w:rsidP="007A109F">
      <w:pPr>
        <w:jc w:val="center"/>
        <w:rPr>
          <w:rFonts w:cs="Arial"/>
          <w:sz w:val="24"/>
          <w:szCs w:val="24"/>
        </w:rPr>
      </w:pPr>
      <w:r w:rsidRPr="002514D1">
        <w:rPr>
          <w:rFonts w:cs="Arial"/>
          <w:sz w:val="24"/>
          <w:szCs w:val="24"/>
        </w:rPr>
        <w:t>Vilnius</w:t>
      </w:r>
    </w:p>
    <w:p w14:paraId="31F7F511" w14:textId="77777777" w:rsidR="007A109F" w:rsidRPr="005A4C69" w:rsidRDefault="007A109F" w:rsidP="007A109F">
      <w:pPr>
        <w:ind w:firstLine="851"/>
        <w:jc w:val="both"/>
        <w:rPr>
          <w:rFonts w:cs="Arial"/>
          <w:sz w:val="16"/>
          <w:szCs w:val="16"/>
        </w:rPr>
      </w:pPr>
      <w:r w:rsidRPr="002514D1">
        <w:rPr>
          <w:rFonts w:cs="Arial"/>
          <w:b/>
          <w:sz w:val="24"/>
          <w:szCs w:val="24"/>
        </w:rPr>
        <w:t>AB „</w:t>
      </w:r>
      <w:proofErr w:type="spellStart"/>
      <w:r w:rsidRPr="002514D1">
        <w:rPr>
          <w:rFonts w:cs="Arial"/>
          <w:b/>
          <w:sz w:val="24"/>
          <w:szCs w:val="24"/>
        </w:rPr>
        <w:t>Amber</w:t>
      </w:r>
      <w:proofErr w:type="spellEnd"/>
      <w:r w:rsidRPr="002514D1">
        <w:rPr>
          <w:rFonts w:cs="Arial"/>
          <w:b/>
          <w:sz w:val="24"/>
          <w:szCs w:val="24"/>
        </w:rPr>
        <w:t xml:space="preserve"> </w:t>
      </w:r>
      <w:proofErr w:type="spellStart"/>
      <w:r w:rsidRPr="002514D1">
        <w:rPr>
          <w:rFonts w:cs="Arial"/>
          <w:b/>
          <w:sz w:val="24"/>
          <w:szCs w:val="24"/>
        </w:rPr>
        <w:t>Grid</w:t>
      </w:r>
      <w:proofErr w:type="spellEnd"/>
      <w:r w:rsidRPr="002514D1">
        <w:rPr>
          <w:rFonts w:cs="Arial"/>
          <w:b/>
          <w:sz w:val="24"/>
          <w:szCs w:val="24"/>
        </w:rPr>
        <w:t>“</w:t>
      </w:r>
      <w:r w:rsidRPr="002514D1">
        <w:rPr>
          <w:rFonts w:cs="Arial"/>
          <w:sz w:val="24"/>
          <w:szCs w:val="24"/>
        </w:rPr>
        <w:t>, pagal Lietuvos Respublikos įstatymus įsteigta ir veikianti akcinė bendrovė, juridinio asmens kodas 303090867, kurios registruotos buveinės adresas yra Savanorių pr. 28, LT</w:t>
      </w:r>
      <w:r w:rsidRPr="002514D1">
        <w:rPr>
          <w:rFonts w:cs="Arial"/>
          <w:sz w:val="24"/>
          <w:szCs w:val="24"/>
        </w:rPr>
        <w:noBreakHyphen/>
        <w:t>03116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w:t>
      </w:r>
      <w:proofErr w:type="spellStart"/>
      <w:r w:rsidRPr="00CA4F50">
        <w:rPr>
          <w:rFonts w:cs="Arial"/>
          <w:b/>
          <w:sz w:val="24"/>
          <w:szCs w:val="24"/>
        </w:rPr>
        <w:t>Amber</w:t>
      </w:r>
      <w:proofErr w:type="spellEnd"/>
      <w:r w:rsidRPr="00CA4F50">
        <w:rPr>
          <w:rFonts w:cs="Arial"/>
          <w:b/>
          <w:sz w:val="24"/>
          <w:szCs w:val="24"/>
        </w:rPr>
        <w:t xml:space="preserve"> </w:t>
      </w:r>
      <w:proofErr w:type="spellStart"/>
      <w:r w:rsidRPr="00CA4F50">
        <w:rPr>
          <w:rFonts w:cs="Arial"/>
          <w:b/>
          <w:sz w:val="24"/>
          <w:szCs w:val="24"/>
        </w:rPr>
        <w:t>Grid</w:t>
      </w:r>
      <w:proofErr w:type="spellEnd"/>
      <w:r w:rsidRPr="00CA4F50">
        <w:rPr>
          <w:rFonts w:cs="Arial"/>
          <w:b/>
          <w:sz w:val="24"/>
          <w:szCs w:val="24"/>
        </w:rPr>
        <w:t>“</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08161D9" w14:textId="77777777"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4E937F0C" w14:textId="77777777" w:rsidR="007A109F" w:rsidRPr="002514D1" w:rsidRDefault="007A109F" w:rsidP="007A109F">
      <w:pPr>
        <w:jc w:val="both"/>
        <w:rPr>
          <w:rFonts w:cs="Arial"/>
          <w:bCs/>
          <w:sz w:val="24"/>
          <w:szCs w:val="24"/>
        </w:rPr>
      </w:pPr>
      <w:r w:rsidRPr="002514D1">
        <w:rPr>
          <w:rFonts w:cs="Arial"/>
          <w:sz w:val="24"/>
          <w:szCs w:val="24"/>
        </w:rPr>
        <w:t xml:space="preserve">toliau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0B7DD890"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ketina perduoti Informacijos gavėjui konfidencialią (įskaitant ir viešai neatskleistą) informaciją,</w:t>
      </w:r>
    </w:p>
    <w:p w14:paraId="75E9C0AF" w14:textId="77777777" w:rsidR="007A109F" w:rsidRPr="002514D1" w:rsidRDefault="007A109F" w:rsidP="007A109F">
      <w:pPr>
        <w:ind w:firstLine="851"/>
        <w:jc w:val="both"/>
        <w:rPr>
          <w:rFonts w:cs="Arial"/>
          <w:sz w:val="24"/>
          <w:szCs w:val="24"/>
        </w:rPr>
      </w:pPr>
      <w:r w:rsidRPr="002514D1">
        <w:rPr>
          <w:rFonts w:cs="Arial"/>
          <w:sz w:val="24"/>
          <w:szCs w:val="24"/>
        </w:rPr>
        <w:t xml:space="preserve">TODĖL,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2391F881"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31F73B5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74AB4CB8"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6AAB14D2"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 xml:space="preserve">yra ar tampa vieši pagal Lietuvos Respublikos įstatymus, kitus teisės aktus ar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įstatus;</w:t>
      </w:r>
    </w:p>
    <w:p w14:paraId="404A9E5F"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09AA7370"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raštu praneša Informacijos gavėjui, kad ji nėra laikoma konfidencialia ar slapta.</w:t>
      </w:r>
    </w:p>
    <w:p w14:paraId="6B1B49C1"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 xml:space="preserve">Kilus bet kokių abejonių dėl to, ar informacija laikoma Konfidencialia informacija, privalu elgtis su ja kaip su Konfidencialia informacija, kol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neinformuos, kad tokia informacija nėra Konfidenciali.</w:t>
      </w:r>
    </w:p>
    <w:p w14:paraId="10E9688D" w14:textId="77777777" w:rsidR="007A109F" w:rsidRPr="002514D1" w:rsidRDefault="007A109F" w:rsidP="007A109F">
      <w:pPr>
        <w:pStyle w:val="ListParagraph"/>
        <w:tabs>
          <w:tab w:val="left" w:pos="426"/>
        </w:tabs>
        <w:ind w:left="426"/>
        <w:jc w:val="both"/>
        <w:rPr>
          <w:rFonts w:cs="Arial"/>
          <w:sz w:val="24"/>
          <w:szCs w:val="24"/>
        </w:rPr>
      </w:pPr>
    </w:p>
    <w:p w14:paraId="655CB160"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300DAD02"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laikyti Konfidencialią informaciją paslaptyje ir be išankstinio rašytinio atitinkamo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sutikimo neatskleisti visos Konfidencialios informacijos ar bet kurios jos dalies tretiesiems asmenims jokia forma ir būdu.</w:t>
      </w:r>
    </w:p>
    <w:p w14:paraId="17B2E63E"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nenaudoti Konfidencialios informacijos bet kokiu būdu, dėl kurio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gali būti padaryta žala / atsirasti nuostolių.</w:t>
      </w:r>
    </w:p>
    <w:p w14:paraId="45379B0F"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14473AE"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3A169CE6"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304ABF55"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3E9AE56A"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w:t>
      </w:r>
    </w:p>
    <w:p w14:paraId="575FDC90"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139D5DFA"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660F38E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2514D1" w:rsidRDefault="007A109F" w:rsidP="007A109F">
      <w:pPr>
        <w:pStyle w:val="ListParagraph"/>
        <w:tabs>
          <w:tab w:val="left" w:pos="426"/>
        </w:tabs>
        <w:ind w:left="0"/>
        <w:jc w:val="both"/>
        <w:rPr>
          <w:rFonts w:cs="Arial"/>
          <w:sz w:val="24"/>
          <w:szCs w:val="24"/>
        </w:rPr>
      </w:pPr>
    </w:p>
    <w:p w14:paraId="457B815B"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2E1E637D"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 xml:space="preserve">Jeigu Informacijos gavėjas pažeistų bet kokį šiame Susitarime numatytą įsipareigojimą, Informacijos gavėjas privalės sumokėti baudą, lygią 3000 EUR ir atlyginti ar kompensuoti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tokiu pažeidimu tiesiogiai ar netiesiogiai padarytus, patirtus ar atsiradusius nuostolius, išlaidas ir kaštus (įskaitant teisines išlaidas).</w:t>
      </w:r>
    </w:p>
    <w:p w14:paraId="5EDB8DA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27D6E27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79BAC70B"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0D72ECB5"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0CEF8B09" w14:textId="77777777"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 xml:space="preserve">Susitarimas sudarytas dviem vienodą galią turinčiais egzemplioriais. Vienas Susitarimo egzempliorius pateikiamas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kitas lieka Informacijos gavėjui.</w:t>
      </w:r>
    </w:p>
    <w:p w14:paraId="3F48675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 xml:space="preserve">Šiam Susitarimui taikomi Lietuvos Respublikos įstatymai. Visi ginčai tarp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ir Informacijos gavėjo dėl Susitarimo sudarymo, galiojimo ar vykdymo sprendžiami derybų keliu. </w:t>
      </w:r>
      <w:proofErr w:type="spellStart"/>
      <w:r w:rsidRPr="002514D1">
        <w:rPr>
          <w:rFonts w:cs="Arial"/>
          <w:sz w:val="24"/>
          <w:szCs w:val="24"/>
        </w:rPr>
        <w:t>Amber</w:t>
      </w:r>
      <w:proofErr w:type="spellEnd"/>
      <w:r w:rsidRPr="002514D1">
        <w:rPr>
          <w:rFonts w:cs="Arial"/>
          <w:sz w:val="24"/>
          <w:szCs w:val="24"/>
        </w:rPr>
        <w:t xml:space="preserve"> </w:t>
      </w:r>
      <w:proofErr w:type="spellStart"/>
      <w:r w:rsidRPr="002514D1">
        <w:rPr>
          <w:rFonts w:cs="Arial"/>
          <w:sz w:val="24"/>
          <w:szCs w:val="24"/>
        </w:rPr>
        <w:t>Grid</w:t>
      </w:r>
      <w:proofErr w:type="spellEnd"/>
      <w:r w:rsidRPr="002514D1">
        <w:rPr>
          <w:rFonts w:cs="Arial"/>
          <w:sz w:val="24"/>
          <w:szCs w:val="24"/>
        </w:rPr>
        <w:t xml:space="preserve"> ir Informacijos gavėjui neišsprendus ginčo derybų keliu, ginčas turi būti sprendžiamas kompetentingame teisme Lietuvos Respublikoje.</w:t>
      </w:r>
    </w:p>
    <w:p w14:paraId="57B09465" w14:textId="77777777" w:rsidR="007A109F" w:rsidRPr="002514D1" w:rsidRDefault="007A109F" w:rsidP="007A109F">
      <w:pPr>
        <w:tabs>
          <w:tab w:val="left" w:pos="5210"/>
        </w:tabs>
        <w:rPr>
          <w:rFonts w:cs="Arial"/>
          <w:sz w:val="24"/>
          <w:szCs w:val="24"/>
          <w:highlight w:val="yellow"/>
        </w:rPr>
      </w:pPr>
    </w:p>
    <w:p w14:paraId="2C39DE34"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BDC4E8C" w14:textId="77777777" w:rsidTr="0053453A">
        <w:tc>
          <w:tcPr>
            <w:tcW w:w="4927" w:type="dxa"/>
          </w:tcPr>
          <w:p w14:paraId="430E3FDD" w14:textId="77777777" w:rsidR="007A109F" w:rsidRPr="002514D1" w:rsidRDefault="007A109F" w:rsidP="0053453A">
            <w:pPr>
              <w:tabs>
                <w:tab w:val="left" w:pos="5210"/>
              </w:tabs>
              <w:rPr>
                <w:rFonts w:cs="Arial"/>
                <w:b/>
                <w:sz w:val="24"/>
                <w:szCs w:val="24"/>
              </w:rPr>
            </w:pPr>
            <w:r w:rsidRPr="002514D1">
              <w:rPr>
                <w:rFonts w:cs="Arial"/>
                <w:b/>
                <w:sz w:val="24"/>
                <w:szCs w:val="24"/>
              </w:rPr>
              <w:t>AB „</w:t>
            </w:r>
            <w:proofErr w:type="spellStart"/>
            <w:r w:rsidRPr="002514D1">
              <w:rPr>
                <w:rFonts w:cs="Arial"/>
                <w:b/>
                <w:sz w:val="24"/>
                <w:szCs w:val="24"/>
              </w:rPr>
              <w:t>Amber</w:t>
            </w:r>
            <w:proofErr w:type="spellEnd"/>
            <w:r w:rsidRPr="002514D1">
              <w:rPr>
                <w:rFonts w:cs="Arial"/>
                <w:b/>
                <w:sz w:val="24"/>
                <w:szCs w:val="24"/>
              </w:rPr>
              <w:t xml:space="preserve"> </w:t>
            </w:r>
            <w:proofErr w:type="spellStart"/>
            <w:r w:rsidRPr="002514D1">
              <w:rPr>
                <w:rFonts w:cs="Arial"/>
                <w:b/>
                <w:sz w:val="24"/>
                <w:szCs w:val="24"/>
              </w:rPr>
              <w:t>Grid</w:t>
            </w:r>
            <w:proofErr w:type="spellEnd"/>
            <w:r w:rsidRPr="002514D1">
              <w:rPr>
                <w:rFonts w:cs="Arial"/>
                <w:b/>
                <w:sz w:val="24"/>
                <w:szCs w:val="24"/>
              </w:rPr>
              <w:t>“ vardu:</w:t>
            </w:r>
          </w:p>
        </w:tc>
        <w:tc>
          <w:tcPr>
            <w:tcW w:w="4927" w:type="dxa"/>
          </w:tcPr>
          <w:p w14:paraId="14B4EC5C"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34A97290" w14:textId="77777777" w:rsidTr="0053453A">
        <w:tc>
          <w:tcPr>
            <w:tcW w:w="4927" w:type="dxa"/>
          </w:tcPr>
          <w:p w14:paraId="4DBE5BDA" w14:textId="77777777" w:rsidR="007A109F" w:rsidRPr="002514D1" w:rsidRDefault="007A109F" w:rsidP="0053453A">
            <w:pPr>
              <w:tabs>
                <w:tab w:val="left" w:pos="5210"/>
              </w:tabs>
              <w:rPr>
                <w:rFonts w:cs="Arial"/>
                <w:sz w:val="24"/>
                <w:szCs w:val="24"/>
              </w:rPr>
            </w:pPr>
          </w:p>
        </w:tc>
        <w:tc>
          <w:tcPr>
            <w:tcW w:w="4927" w:type="dxa"/>
          </w:tcPr>
          <w:p w14:paraId="1AD691F0" w14:textId="77777777" w:rsidR="007A109F" w:rsidRPr="002514D1" w:rsidRDefault="007A109F" w:rsidP="0053453A">
            <w:pPr>
              <w:tabs>
                <w:tab w:val="left" w:pos="5210"/>
              </w:tabs>
              <w:rPr>
                <w:rFonts w:cs="Arial"/>
                <w:sz w:val="24"/>
                <w:szCs w:val="24"/>
              </w:rPr>
            </w:pPr>
          </w:p>
        </w:tc>
      </w:tr>
      <w:tr w:rsidR="007A109F" w:rsidRPr="002514D1" w14:paraId="031B3AB8" w14:textId="77777777" w:rsidTr="0053453A">
        <w:tc>
          <w:tcPr>
            <w:tcW w:w="4927" w:type="dxa"/>
          </w:tcPr>
          <w:p w14:paraId="639CD800" w14:textId="77777777" w:rsidR="007A109F" w:rsidRPr="002514D1" w:rsidRDefault="007A109F" w:rsidP="0053453A">
            <w:pPr>
              <w:tabs>
                <w:tab w:val="left" w:pos="5210"/>
              </w:tabs>
              <w:rPr>
                <w:rFonts w:cs="Arial"/>
                <w:sz w:val="24"/>
                <w:szCs w:val="24"/>
              </w:rPr>
            </w:pPr>
          </w:p>
        </w:tc>
        <w:tc>
          <w:tcPr>
            <w:tcW w:w="4927" w:type="dxa"/>
          </w:tcPr>
          <w:p w14:paraId="1317621A" w14:textId="77777777" w:rsidR="007A109F" w:rsidRPr="002514D1" w:rsidRDefault="007A109F" w:rsidP="0053453A">
            <w:pPr>
              <w:tabs>
                <w:tab w:val="left" w:pos="5210"/>
              </w:tabs>
              <w:rPr>
                <w:rFonts w:cs="Arial"/>
                <w:sz w:val="24"/>
                <w:szCs w:val="24"/>
              </w:rPr>
            </w:pPr>
          </w:p>
        </w:tc>
      </w:tr>
      <w:tr w:rsidR="007A109F" w:rsidRPr="002514D1" w14:paraId="0502464E" w14:textId="77777777" w:rsidTr="0053453A">
        <w:tc>
          <w:tcPr>
            <w:tcW w:w="4927" w:type="dxa"/>
          </w:tcPr>
          <w:p w14:paraId="46A84BF5" w14:textId="77777777" w:rsidR="007A109F" w:rsidRPr="002514D1" w:rsidRDefault="007A109F" w:rsidP="0053453A">
            <w:pPr>
              <w:tabs>
                <w:tab w:val="left" w:pos="5210"/>
              </w:tabs>
              <w:rPr>
                <w:rFonts w:cs="Arial"/>
                <w:sz w:val="24"/>
                <w:szCs w:val="24"/>
              </w:rPr>
            </w:pPr>
          </w:p>
        </w:tc>
        <w:tc>
          <w:tcPr>
            <w:tcW w:w="4927" w:type="dxa"/>
          </w:tcPr>
          <w:p w14:paraId="4176C8CD" w14:textId="77777777" w:rsidR="007A109F" w:rsidRPr="002514D1" w:rsidRDefault="007A109F" w:rsidP="0053453A">
            <w:pPr>
              <w:tabs>
                <w:tab w:val="left" w:pos="5210"/>
              </w:tabs>
              <w:rPr>
                <w:rFonts w:cs="Arial"/>
                <w:sz w:val="24"/>
                <w:szCs w:val="24"/>
              </w:rPr>
            </w:pPr>
          </w:p>
        </w:tc>
      </w:tr>
      <w:tr w:rsidR="007A109F" w:rsidRPr="002514D1" w14:paraId="69A419CD" w14:textId="77777777" w:rsidTr="0053453A">
        <w:tc>
          <w:tcPr>
            <w:tcW w:w="4927" w:type="dxa"/>
          </w:tcPr>
          <w:p w14:paraId="434FCC0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7539431"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0C68FF9C"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322B50D" w14:textId="77777777" w:rsidR="007A109F" w:rsidRDefault="007A109F" w:rsidP="0053453A">
            <w:pPr>
              <w:tabs>
                <w:tab w:val="left" w:pos="426"/>
              </w:tabs>
              <w:jc w:val="right"/>
              <w:rPr>
                <w:rFonts w:cs="Arial"/>
                <w:bCs/>
                <w:sz w:val="24"/>
                <w:szCs w:val="24"/>
              </w:rPr>
            </w:pPr>
          </w:p>
          <w:p w14:paraId="55888219" w14:textId="77777777" w:rsidR="007A109F" w:rsidRPr="002514D1" w:rsidRDefault="007A109F" w:rsidP="0053453A">
            <w:pPr>
              <w:tabs>
                <w:tab w:val="left" w:pos="426"/>
              </w:tabs>
              <w:jc w:val="right"/>
              <w:rPr>
                <w:rFonts w:cs="Arial"/>
                <w:bCs/>
                <w:sz w:val="24"/>
                <w:szCs w:val="24"/>
              </w:rPr>
            </w:pPr>
          </w:p>
          <w:p w14:paraId="70F3D2C5" w14:textId="77777777" w:rsidR="007A109F" w:rsidRPr="002514D1" w:rsidRDefault="007A109F" w:rsidP="0053453A">
            <w:pPr>
              <w:tabs>
                <w:tab w:val="left" w:pos="5210"/>
              </w:tabs>
              <w:rPr>
                <w:rFonts w:cs="Arial"/>
                <w:sz w:val="24"/>
                <w:szCs w:val="24"/>
              </w:rPr>
            </w:pPr>
          </w:p>
        </w:tc>
        <w:tc>
          <w:tcPr>
            <w:tcW w:w="4927" w:type="dxa"/>
          </w:tcPr>
          <w:p w14:paraId="54E9B9AA"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25849064" w14:textId="77777777" w:rsidR="007A109F" w:rsidRPr="002514D1" w:rsidRDefault="007A109F" w:rsidP="0053453A">
            <w:pPr>
              <w:tabs>
                <w:tab w:val="left" w:pos="5210"/>
              </w:tabs>
              <w:rPr>
                <w:rFonts w:cs="Arial"/>
                <w:sz w:val="24"/>
                <w:szCs w:val="24"/>
              </w:rPr>
            </w:pPr>
          </w:p>
        </w:tc>
      </w:tr>
    </w:tbl>
    <w:p w14:paraId="577EC6A1" w14:textId="77777777" w:rsidR="007A109F" w:rsidRDefault="007A109F" w:rsidP="007A109F">
      <w:pPr>
        <w:pStyle w:val="ListParagraph"/>
        <w:ind w:left="0"/>
        <w:jc w:val="center"/>
        <w:rPr>
          <w:sz w:val="24"/>
          <w:szCs w:val="24"/>
        </w:rPr>
      </w:pPr>
      <w:r w:rsidRPr="005A4C69">
        <w:rPr>
          <w:sz w:val="24"/>
          <w:szCs w:val="24"/>
        </w:rPr>
        <w:t>_________________</w:t>
      </w:r>
    </w:p>
    <w:p w14:paraId="359703AD" w14:textId="77777777" w:rsidR="007A109F" w:rsidRDefault="007A109F" w:rsidP="007A109F">
      <w:pPr>
        <w:pStyle w:val="ListParagraph"/>
        <w:ind w:left="0"/>
        <w:jc w:val="center"/>
        <w:rPr>
          <w:sz w:val="24"/>
          <w:szCs w:val="24"/>
        </w:rPr>
      </w:pPr>
    </w:p>
    <w:p w14:paraId="7D74E0FB" w14:textId="77777777" w:rsidR="007A109F" w:rsidRDefault="007A109F" w:rsidP="007A109F">
      <w:pPr>
        <w:pStyle w:val="ListParagraph"/>
        <w:ind w:left="0"/>
        <w:jc w:val="center"/>
        <w:rPr>
          <w:sz w:val="24"/>
          <w:szCs w:val="24"/>
        </w:rPr>
      </w:pPr>
    </w:p>
    <w:p w14:paraId="07E7F4EC" w14:textId="77777777" w:rsidR="00C722D5" w:rsidRDefault="00C722D5"/>
    <w:sectPr w:rsidR="00C722D5"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77777777" w:rsidR="00C235AB" w:rsidRPr="00C235AB" w:rsidRDefault="00C235AB" w:rsidP="00C235AB">
    <w:pPr>
      <w:pStyle w:val="Header"/>
      <w:jc w:val="right"/>
      <w:rPr>
        <w:lang w:val="en-US"/>
      </w:rPr>
    </w:pPr>
    <w:r>
      <w:rPr>
        <w:lang w:val="en-US"/>
      </w:rPr>
      <w:t>SUT-</w:t>
    </w:r>
    <w:r w:rsidR="00731B6B">
      <w:rPr>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2C3486"/>
    <w:rsid w:val="003432C0"/>
    <w:rsid w:val="00384A8D"/>
    <w:rsid w:val="00731B6B"/>
    <w:rsid w:val="007A109F"/>
    <w:rsid w:val="008950B7"/>
    <w:rsid w:val="00C235AB"/>
    <w:rsid w:val="00C722D5"/>
    <w:rsid w:val="00D4114F"/>
    <w:rsid w:val="00E2234B"/>
    <w:rsid w:val="00E322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A4831C"/>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4746</Words>
  <Characters>2706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Lina Zviaginė</cp:lastModifiedBy>
  <cp:revision>2</cp:revision>
  <dcterms:created xsi:type="dcterms:W3CDTF">2026-01-23T10:06:00Z</dcterms:created>
  <dcterms:modified xsi:type="dcterms:W3CDTF">2026-01-23T10:06:00Z</dcterms:modified>
</cp:coreProperties>
</file>